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426" w:right="-1"/>
        <w:jc w:val="right"/>
        <w:rPr>
          <w:sz w:val="20"/>
          <w:szCs w:val="24"/>
        </w:rPr>
      </w:pPr>
      <w:r>
        <w:rPr>
          <w:sz w:val="20"/>
          <w:szCs w:val="24"/>
        </w:rPr>
      </w:r>
    </w:p>
    <w:p>
      <w:pPr>
        <w:pStyle w:val="Normal"/>
        <w:keepNext w:val="true"/>
        <w:keepLines/>
        <w:spacing w:lineRule="auto" w:line="240" w:before="0" w:after="0"/>
        <w:jc w:val="right"/>
        <w:rPr>
          <w:rFonts w:ascii="Times New Roman" w:hAnsi="Times New Roman" w:eastAsia="Calibri;Century Gothic"/>
          <w:b/>
          <w:bCs/>
          <w:sz w:val="24"/>
          <w:szCs w:val="24"/>
        </w:rPr>
      </w:pPr>
      <w:r>
        <w:rPr>
          <w:rFonts w:eastAsia="Calibri;Century Gothic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124336829_Копия_1"/>
      <w:r>
        <w:rPr>
          <w:rFonts w:cs="Times New Roman" w:ascii="Times New Roman" w:hAnsi="Times New Roman"/>
          <w:b/>
          <w:sz w:val="24"/>
          <w:szCs w:val="24"/>
        </w:rPr>
        <w:t>ТЕХНИЧЕСКИЕ ТРЕБОВАНИЯ</w:t>
      </w:r>
      <w:bookmarkEnd w:id="0"/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на О</w:t>
      </w:r>
      <w:r>
        <w:rPr>
          <w:rFonts w:cs="Times New Roman" w:ascii="Times New Roman" w:hAnsi="Times New Roman"/>
          <w:sz w:val="24"/>
          <w:szCs w:val="24"/>
        </w:rPr>
        <w:t>КПД2 [28.92.26] Поставка экскаватора-погрузчика с навесным оборудованием для нужд Дагестанского филиала</w:t>
      </w:r>
    </w:p>
    <w:p>
      <w:pPr>
        <w:sectPr>
          <w:type w:val="nextPage"/>
          <w:pgSz w:w="11906" w:h="16838"/>
          <w:pgMar w:left="1134" w:right="851" w:gutter="0" w:header="0" w:top="459" w:footer="0" w:bottom="1134"/>
          <w:pgNumType w:start="0" w:fmt="decimal"/>
          <w:formProt w:val="false"/>
          <w:textDirection w:val="lrTb"/>
          <w:docGrid w:type="default" w:linePitch="360" w:charSpace="40960"/>
        </w:sectPr>
        <w:pStyle w:val="Heading3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  <w:color w:val="000000"/>
        </w:rPr>
        <w:t>Лот №  _________________________________</w:t>
      </w:r>
    </w:p>
    <w:p>
      <w:pPr>
        <w:pStyle w:val="TOC4"/>
        <w:tabs>
          <w:tab w:val="clear" w:pos="708"/>
          <w:tab w:val="left" w:pos="1120" w:leader="none"/>
          <w:tab w:val="right" w:pos="9911" w:leader="dot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Обозначения и сокращения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14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156"/>
        <w:gridCol w:w="6986"/>
      </w:tblGrid>
      <w:tr>
        <w:trPr>
          <w:trHeight w:val="240" w:hRule="atLeast"/>
          <w:cantSplit w:val="true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Продукция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Экскаватор-погрузчик</w:t>
            </w:r>
          </w:p>
        </w:tc>
      </w:tr>
      <w:tr>
        <w:trPr>
          <w:trHeight w:val="240" w:hRule="atLeast"/>
          <w:cantSplit w:val="true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Style w:val="Style14"/>
                <w:rFonts w:ascii="Times New Roman" w:hAnsi="Times New Roman" w:cs="Times New Roman"/>
                <w:bCs/>
                <w:i w:val="false"/>
                <w:i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Технические требования</w:t>
            </w:r>
          </w:p>
        </w:tc>
      </w:tr>
      <w:tr>
        <w:trPr>
          <w:trHeight w:val="240" w:hRule="atLeast"/>
          <w:cantSplit w:val="true"/>
        </w:trPr>
        <w:tc>
          <w:tcPr>
            <w:tcW w:w="3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ЕАЭС</w:t>
            </w:r>
          </w:p>
        </w:tc>
        <w:tc>
          <w:tcPr>
            <w:tcW w:w="6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Евразийский экономический союз</w:t>
            </w:r>
          </w:p>
        </w:tc>
      </w:tr>
      <w:tr>
        <w:trPr>
          <w:trHeight w:val="240" w:hRule="atLeast"/>
          <w:cantSplit w:val="true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Самоходная машина</w:t>
            </w:r>
          </w:p>
        </w:tc>
      </w:tr>
      <w:tr>
        <w:trPr>
          <w:trHeight w:val="240" w:hRule="atLeast"/>
          <w:cantSplit w:val="true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ПСМ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Паспорт самоходной машины</w:t>
            </w:r>
          </w:p>
        </w:tc>
      </w:tr>
      <w:tr>
        <w:trPr>
          <w:trHeight w:val="240" w:hRule="atLeast"/>
          <w:cantSplit w:val="true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ЭПСМ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Электронный паспорт самоходной машины</w:t>
            </w:r>
          </w:p>
        </w:tc>
      </w:tr>
    </w:tbl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Heading1"/>
        <w:numPr>
          <w:ilvl w:val="0"/>
          <w:numId w:val="3"/>
        </w:numPr>
        <w:ind w:hanging="0" w:left="0"/>
        <w:rPr>
          <w:bCs/>
          <w:szCs w:val="24"/>
        </w:rPr>
      </w:pPr>
      <w:bookmarkStart w:id="1" w:name="_Toc124337638"/>
      <w:bookmarkStart w:id="2" w:name="_Toc130203439"/>
      <w:r>
        <w:rPr>
          <w:bCs/>
          <w:szCs w:val="24"/>
        </w:rPr>
        <w:t>Общие сведения</w:t>
      </w:r>
      <w:bookmarkEnd w:id="1"/>
      <w:bookmarkEnd w:id="2"/>
    </w:p>
    <w:p>
      <w:pPr>
        <w:pStyle w:val="ListParagraph"/>
        <w:numPr>
          <w:ilvl w:val="0"/>
          <w:numId w:val="0"/>
        </w:numPr>
        <w:ind w:hanging="0" w:left="0"/>
        <w:jc w:val="both"/>
        <w:outlineLvl w:val="1"/>
        <w:rPr>
          <w:b/>
        </w:rPr>
      </w:pPr>
      <w:r>
        <w:rPr>
          <w:b/>
        </w:rPr>
      </w:r>
      <w:bookmarkStart w:id="3" w:name="_Toc124336830"/>
      <w:bookmarkStart w:id="4" w:name="_Toc130203440"/>
      <w:bookmarkStart w:id="5" w:name="_Toc124336830"/>
      <w:bookmarkStart w:id="6" w:name="_Toc130203440"/>
      <w:bookmarkEnd w:id="5"/>
      <w:bookmarkEnd w:id="6"/>
    </w:p>
    <w:p>
      <w:pPr>
        <w:pStyle w:val="ListParagraph"/>
        <w:numPr>
          <w:ilvl w:val="0"/>
          <w:numId w:val="2"/>
        </w:numPr>
        <w:spacing w:before="0" w:after="240"/>
        <w:ind w:hanging="0" w:left="0"/>
        <w:contextualSpacing/>
        <w:jc w:val="both"/>
        <w:outlineLvl w:val="1"/>
        <w:rPr>
          <w:b/>
        </w:rPr>
      </w:pPr>
      <w:bookmarkStart w:id="7" w:name="_Toc124336831"/>
      <w:bookmarkStart w:id="8" w:name="_Toc130203441"/>
      <w:r>
        <w:rPr>
          <w:b/>
        </w:rPr>
        <w:t>Наименование закупаемой продукции</w:t>
      </w:r>
      <w:bookmarkEnd w:id="7"/>
      <w:bookmarkEnd w:id="8"/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ОКПД2 [28.92.26] Поставка экскаватора-погрузчика с навесным оборудованием для нужд Дагестанского филиала (далее — Продукция).</w:t>
      </w:r>
    </w:p>
    <w:p>
      <w:pPr>
        <w:pStyle w:val="ListParagraph"/>
        <w:numPr>
          <w:ilvl w:val="0"/>
          <w:numId w:val="2"/>
        </w:numPr>
        <w:spacing w:before="0" w:after="240"/>
        <w:ind w:hanging="0" w:left="0"/>
        <w:contextualSpacing/>
        <w:jc w:val="both"/>
        <w:outlineLvl w:val="1"/>
        <w:rPr>
          <w:b/>
        </w:rPr>
      </w:pPr>
      <w:bookmarkStart w:id="9" w:name="_Toc124336832"/>
      <w:bookmarkStart w:id="10" w:name="_Toc130203442"/>
      <w:r>
        <w:rPr>
          <w:b/>
        </w:rPr>
        <w:t>Цель использования закупаемой продукции</w:t>
      </w:r>
      <w:bookmarkEnd w:id="9"/>
      <w:bookmarkEnd w:id="10"/>
      <w:r>
        <w:rPr>
          <w:b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 xml:space="preserve">Исполнение инвестиционной программы на 2026 год для нужд </w:t>
      </w:r>
      <w:r>
        <w:rPr>
          <w:rFonts w:cs="Times New Roman" w:ascii="Times New Roman" w:hAnsi="Times New Roman"/>
          <w:iCs/>
          <w:sz w:val="24"/>
          <w:szCs w:val="24"/>
          <w:lang w:eastAsia="ru-RU"/>
        </w:rPr>
        <w:t>Дагестанского</w:t>
      </w:r>
      <w:r>
        <w:rPr>
          <w:rFonts w:cs="Times New Roman" w:ascii="Times New Roman" w:hAnsi="Times New Roman"/>
          <w:iCs/>
          <w:sz w:val="24"/>
          <w:szCs w:val="24"/>
        </w:rPr>
        <w:t xml:space="preserve"> филиала АО «Гидроремонт-ВКК».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eading1"/>
        <w:numPr>
          <w:ilvl w:val="0"/>
          <w:numId w:val="3"/>
        </w:numPr>
        <w:ind w:hanging="11" w:left="0"/>
        <w:rPr>
          <w:bCs/>
          <w:szCs w:val="24"/>
        </w:rPr>
      </w:pPr>
      <w:bookmarkStart w:id="11" w:name="_Toc130203443"/>
      <w:r>
        <w:rPr>
          <w:bCs/>
          <w:szCs w:val="24"/>
        </w:rPr>
        <w:t>Требования к продукции</w:t>
      </w:r>
      <w:bookmarkEnd w:id="11"/>
    </w:p>
    <w:p>
      <w:pPr>
        <w:pStyle w:val="Style19"/>
        <w:numPr>
          <w:ilvl w:val="1"/>
          <w:numId w:val="3"/>
        </w:numPr>
        <w:spacing w:lineRule="auto" w:line="240" w:before="0" w:after="0"/>
        <w:ind w:hanging="0" w:left="0"/>
        <w:outlineLvl w:val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12" w:name="_Toc130203444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Требования к объемам и срокам поставки</w:t>
      </w:r>
      <w:bookmarkEnd w:id="12"/>
    </w:p>
    <w:p>
      <w:pPr>
        <w:pStyle w:val="Style19"/>
        <w:numPr>
          <w:ilvl w:val="2"/>
          <w:numId w:val="3"/>
        </w:numPr>
        <w:spacing w:lineRule="auto" w:line="240" w:before="0" w:after="0"/>
        <w:ind w:hanging="0" w:left="0"/>
        <w:outlineLvl w:val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13" w:name="_Toc130203445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Перечень и объем закупаемой продукции</w:t>
      </w:r>
      <w:bookmarkEnd w:id="13"/>
    </w:p>
    <w:p>
      <w:pPr>
        <w:pStyle w:val="Style19"/>
        <w:numPr>
          <w:ilvl w:val="0"/>
          <w:numId w:val="0"/>
        </w:numPr>
        <w:spacing w:lineRule="auto" w:line="240" w:before="0" w:after="0"/>
        <w:ind w:hanging="0" w:left="0"/>
        <w:outlineLvl w:val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14" w:name="_Toc130203446"/>
      <w:bookmarkStart w:id="15" w:name="_Toc124337397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Таблица 1. Перечень и объем закупаемой продукции</w:t>
      </w:r>
      <w:bookmarkEnd w:id="14"/>
      <w:bookmarkEnd w:id="15"/>
    </w:p>
    <w:p>
      <w:pPr>
        <w:pStyle w:val="Style19"/>
        <w:numPr>
          <w:ilvl w:val="0"/>
          <w:numId w:val="0"/>
        </w:numPr>
        <w:spacing w:lineRule="auto" w:line="240" w:before="0" w:after="0"/>
        <w:ind w:hanging="0" w:left="0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997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80"/>
        <w:gridCol w:w="5515"/>
        <w:gridCol w:w="1980"/>
        <w:gridCol w:w="1999"/>
      </w:tblGrid>
      <w:tr>
        <w:trPr>
          <w:trHeight w:val="518" w:hRule="atLeast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>
        <w:trPr>
          <w:trHeight w:val="136" w:hRule="atLeast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</w:tr>
      <w:tr>
        <w:trPr>
          <w:trHeight w:val="136" w:hRule="atLeast"/>
        </w:trPr>
        <w:tc>
          <w:tcPr>
            <w:tcW w:w="9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ОКПД2 [28.29.27] Экскаваторы одноковшовые и ковшовые погрузчики самоходные с поворотом кабины на 360° (полноповоротные машины), кроме фронтальных одноковшовых погрузчиков</w:t>
            </w:r>
          </w:p>
        </w:tc>
      </w:tr>
      <w:tr>
        <w:trPr>
          <w:trHeight w:val="136" w:hRule="atLeast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181818"/>
                <w:sz w:val="24"/>
                <w:szCs w:val="24"/>
              </w:rPr>
              <w:t>Экскаватор-погрузчик с навесным оборудованием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1</w:t>
            </w:r>
          </w:p>
        </w:tc>
      </w:tr>
    </w:tbl>
    <w:p>
      <w:pPr>
        <w:pStyle w:val="Style19"/>
        <w:numPr>
          <w:ilvl w:val="2"/>
          <w:numId w:val="3"/>
        </w:numPr>
        <w:spacing w:lineRule="auto" w:line="240" w:before="0" w:after="0"/>
        <w:ind w:hanging="0" w:left="0"/>
        <w:outlineLvl w:val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16" w:name="_Toc130203447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Требования к срокам поставки продукции</w:t>
      </w:r>
      <w:bookmarkEnd w:id="16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p>
      <w:pPr>
        <w:pStyle w:val="Style19"/>
        <w:numPr>
          <w:ilvl w:val="0"/>
          <w:numId w:val="0"/>
        </w:numPr>
        <w:spacing w:lineRule="auto" w:line="240" w:before="0" w:after="0"/>
        <w:ind w:hanging="0" w:left="0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7" w:name="_Toc130203448"/>
      <w:r>
        <w:rPr>
          <w:rFonts w:cs="Times New Roman" w:ascii="Times New Roman" w:hAnsi="Times New Roman"/>
          <w:b/>
          <w:sz w:val="24"/>
          <w:szCs w:val="24"/>
        </w:rPr>
        <w:t>Таблица 2. Требования по срокам поставки продукции</w:t>
      </w:r>
      <w:bookmarkEnd w:id="17"/>
    </w:p>
    <w:tbl>
      <w:tblPr>
        <w:tblW w:w="997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49"/>
        <w:gridCol w:w="3678"/>
        <w:gridCol w:w="2195"/>
        <w:gridCol w:w="3547"/>
      </w:tblGrid>
      <w:tr>
        <w:trPr>
          <w:trHeight w:val="341" w:hRule="atLeast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>
          <w:trHeight w:val="88" w:hRule="atLeast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</w:tr>
      <w:tr>
        <w:trPr>
          <w:trHeight w:val="274" w:hRule="atLeast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ОКПД2 [28.92.26] Поставка экскаватора-погрузчика с навесным оборудованием для нужд Дагестанского филиала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Не позднее 50 календарных дней с даты подписания договора*</w:t>
            </w:r>
          </w:p>
        </w:tc>
      </w:tr>
    </w:tbl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* Поставка планируется не ранее 4 квартала 2026г.</w:t>
      </w:r>
    </w:p>
    <w:p>
      <w:pPr>
        <w:pStyle w:val="ListParagraph"/>
        <w:ind w:left="0"/>
        <w:rPr>
          <w:b/>
        </w:rPr>
      </w:pPr>
      <w:r>
        <w:rPr>
          <w:b/>
        </w:rPr>
      </w:r>
    </w:p>
    <w:p>
      <w:pPr>
        <w:pStyle w:val="ListParagraph"/>
        <w:ind w:left="0"/>
        <w:rPr>
          <w:b/>
        </w:rPr>
      </w:pPr>
      <w:r>
        <w:rPr>
          <w:b/>
        </w:rPr>
      </w:r>
      <w:bookmarkStart w:id="18" w:name="_Toc51339698_Копия_1_Копия_1_Копия_1_Коп"/>
      <w:bookmarkStart w:id="19" w:name="_Toc51339698_Копия_1_Копия_1_Копия_1_Коп"/>
      <w:bookmarkStart w:id="20" w:name="_Toc51339698_Копия_1_Копия_1_Копия_1_Коп"/>
      <w:bookmarkStart w:id="21" w:name="_Toc51339698_Копия_1_Копия_1_Копия_1"/>
      <w:bookmarkStart w:id="22" w:name="_Toc51339698_Копия_1"/>
      <w:bookmarkStart w:id="23" w:name="_Toc51339698"/>
      <w:bookmarkStart w:id="24" w:name="_Toc51339698_Копия_1_Копия_1"/>
      <w:bookmarkStart w:id="25" w:name="_Toc51339698_Копия_1_Копия_1_Копия_1_Коп"/>
      <w:bookmarkStart w:id="26" w:name="_Toc51339698_Копия_1_Копия_1_Копия_1_Коп"/>
      <w:bookmarkStart w:id="27" w:name="_Toc51339698_Копия_1_Копия_1_Копия_1_Коп"/>
      <w:bookmarkStart w:id="28" w:name="_Toc51339698_Копия_1_Копия_1_Копия_1_Коп"/>
      <w:bookmarkStart w:id="29" w:name="_Toc51339698_Копия_1_Копия_1_Копия_1_Коп"/>
      <w:bookmarkStart w:id="30" w:name="_Toc51339698_Копия_1_Копия_1_Копия_1"/>
      <w:bookmarkStart w:id="31" w:name="_Toc51339698_Копия_1"/>
      <w:bookmarkStart w:id="32" w:name="_Toc51339698"/>
      <w:bookmarkStart w:id="33" w:name="_Toc51339698_Копия_1_Копия_1"/>
      <w:bookmarkStart w:id="34" w:name="_Toc51339698_Копия_1_Копия_1_Копия_1_Коп"/>
      <w:bookmarkStart w:id="35" w:name="_Toc51339698_Копия_1_Копия_1_Копия_1_Коп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sectPr>
          <w:footerReference w:type="default" r:id="rId2"/>
          <w:type w:val="nextPage"/>
          <w:pgSz w:w="11906" w:h="16838"/>
          <w:pgMar w:left="1134" w:right="851" w:gutter="0" w:header="0" w:top="338" w:footer="709" w:bottom="1134"/>
          <w:pgNumType w:fmt="decimal"/>
          <w:formProt w:val="false"/>
          <w:textDirection w:val="lrTb"/>
          <w:docGrid w:type="default" w:linePitch="360" w:charSpace="40960"/>
        </w:sectPr>
        <w:pStyle w:val="Normal"/>
        <w:keepNext w:val="true"/>
        <w:keepLines/>
        <w:numPr>
          <w:ilvl w:val="0"/>
          <w:numId w:val="0"/>
        </w:numPr>
        <w:spacing w:lineRule="auto" w:line="240" w:before="240" w:after="60"/>
        <w:ind w:hanging="0" w:left="0"/>
        <w:outlineLvl w:val="0"/>
        <w:rPr>
          <w:rFonts w:ascii="Times New Roman" w:hAnsi="Times New Roman" w:eastAsia="Calibri" w:cs="Times New Roman"/>
          <w:b/>
          <w:sz w:val="24"/>
          <w:szCs w:val="24"/>
          <w:lang w:val="x-none" w:eastAsia="x-none"/>
        </w:rPr>
      </w:pPr>
      <w:bookmarkStart w:id="36" w:name="_Toc51339698_Копия_1_Копия_1_Копия_1_Коп"/>
      <w:bookmarkEnd w:id="36"/>
      <w:r>
        <w:rPr>
          <w:rFonts w:eastAsia="Calibri" w:cs="Times New Roman" w:ascii="Times New Roman" w:hAnsi="Times New Roman"/>
          <w:b/>
          <w:sz w:val="24"/>
          <w:szCs w:val="24"/>
          <w:lang w:val="x-none" w:eastAsia="x-none"/>
        </w:rPr>
        <w:t xml:space="preserve"> </w:t>
      </w:r>
    </w:p>
    <w:p>
      <w:pPr>
        <w:pStyle w:val="Heading4"/>
        <w:numPr>
          <w:ilvl w:val="1"/>
          <w:numId w:val="3"/>
        </w:numPr>
        <w:tabs>
          <w:tab w:val="clear" w:pos="708"/>
          <w:tab w:val="left" w:pos="851" w:leader="none"/>
        </w:tabs>
        <w:spacing w:before="0" w:after="0"/>
        <w:rPr>
          <w:rFonts w:ascii="Times New Roman" w:hAnsi="Times New Roman" w:cs="Times New Roman"/>
          <w:i w:val="false"/>
          <w:i w:val="false"/>
          <w:color w:val="auto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i w:val="false"/>
          <w:color w:val="auto"/>
          <w:sz w:val="24"/>
          <w:szCs w:val="24"/>
          <w:lang w:val="x-none" w:eastAsia="x-none"/>
        </w:rPr>
        <w:t xml:space="preserve">Требования к </w:t>
      </w:r>
      <w:r>
        <w:rPr>
          <w:rFonts w:eastAsia="Calibri" w:cs="Times New Roman" w:ascii="Times New Roman" w:hAnsi="Times New Roman"/>
          <w:b/>
          <w:bCs/>
          <w:i w:val="false"/>
          <w:color w:val="auto"/>
          <w:sz w:val="24"/>
          <w:szCs w:val="24"/>
          <w:lang w:eastAsia="x-none"/>
        </w:rPr>
        <w:t>качеству продукции</w:t>
      </w:r>
    </w:p>
    <w:p>
      <w:pPr>
        <w:pStyle w:val="Heading1"/>
        <w:tabs>
          <w:tab w:val="clear" w:pos="708"/>
          <w:tab w:val="left" w:pos="851" w:leader="none"/>
        </w:tabs>
        <w:ind w:firstLine="284"/>
        <w:jc w:val="left"/>
        <w:rPr>
          <w:szCs w:val="24"/>
        </w:rPr>
      </w:pPr>
      <w:bookmarkStart w:id="37" w:name="_Toc130203449"/>
      <w:r>
        <w:rPr>
          <w:szCs w:val="24"/>
        </w:rPr>
        <w:t>Таблица 3. Требования к продукции</w:t>
      </w:r>
      <w:bookmarkEnd w:id="37"/>
      <w:r>
        <w:rPr>
          <w:szCs w:val="24"/>
        </w:rPr>
        <w:t xml:space="preserve"> </w:t>
      </w:r>
    </w:p>
    <w:p>
      <w:pPr>
        <w:pStyle w:val="Normal"/>
        <w:spacing w:before="0"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  <w:lang w:eastAsia="ru-RU"/>
        </w:rPr>
        <w:t xml:space="preserve">     </w:t>
      </w:r>
      <w:r>
        <w:rPr>
          <w:rFonts w:cs="Times New Roman" w:ascii="Times New Roman" w:hAnsi="Times New Roman"/>
          <w:b/>
          <w:sz w:val="24"/>
          <w:szCs w:val="24"/>
          <w:lang w:eastAsia="ru-RU"/>
        </w:rPr>
        <w:t>Наименование продукции: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 экскаватор-погрузчик</w:t>
      </w:r>
      <w:r>
        <w:rPr>
          <w:rFonts w:cs="Times New Roman" w:ascii="Times New Roman" w:hAnsi="Times New Roman"/>
          <w:b/>
          <w:bCs/>
          <w:color w:val="181818"/>
          <w:sz w:val="24"/>
          <w:szCs w:val="24"/>
          <w:lang w:eastAsia="ru-RU"/>
        </w:rPr>
        <w:t xml:space="preserve"> </w:t>
      </w:r>
    </w:p>
    <w:tbl>
      <w:tblPr>
        <w:tblStyle w:val="13"/>
        <w:tblW w:w="1473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29"/>
        <w:gridCol w:w="2565"/>
        <w:gridCol w:w="1417"/>
        <w:gridCol w:w="2991"/>
        <w:gridCol w:w="15"/>
        <w:gridCol w:w="2223"/>
        <w:gridCol w:w="2369"/>
        <w:gridCol w:w="2323"/>
      </w:tblGrid>
      <w:tr>
        <w:trPr>
          <w:trHeight w:val="311" w:hRule="atLeast"/>
        </w:trPr>
        <w:tc>
          <w:tcPr>
            <w:tcW w:w="82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982" w:type="dxa"/>
            <w:gridSpan w:val="2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Наименование параметра</w:t>
            </w:r>
          </w:p>
        </w:tc>
        <w:tc>
          <w:tcPr>
            <w:tcW w:w="2991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Требования заказчика</w:t>
            </w:r>
          </w:p>
        </w:tc>
        <w:tc>
          <w:tcPr>
            <w:tcW w:w="460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323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Предложения участника по характеристикам и параметрам</w:t>
            </w:r>
          </w:p>
        </w:tc>
      </w:tr>
      <w:tr>
        <w:trPr>
          <w:trHeight w:val="70" w:hRule="atLeast"/>
        </w:trPr>
        <w:tc>
          <w:tcPr>
            <w:tcW w:w="829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3982" w:type="dxa"/>
            <w:gridSpan w:val="2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99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991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99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Согласие с требованием/ 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323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</w:t>
            </w:r>
          </w:p>
        </w:tc>
        <w:tc>
          <w:tcPr>
            <w:tcW w:w="13903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99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>
        <w:trPr>
          <w:trHeight w:val="263" w:hRule="atLeast"/>
        </w:trPr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</w:t>
            </w:r>
          </w:p>
        </w:tc>
        <w:tc>
          <w:tcPr>
            <w:tcW w:w="13903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Cs/>
                <w:color w:val="000000" w:themeColor="text1"/>
                <w:kern w:val="0"/>
                <w:sz w:val="24"/>
                <w:szCs w:val="22"/>
                <w:lang w:val="ru-RU" w:eastAsia="en-US" w:bidi="ar-SA"/>
              </w:rPr>
              <w:t xml:space="preserve">Характеристики 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181818"/>
                <w:kern w:val="0"/>
                <w:sz w:val="24"/>
                <w:szCs w:val="22"/>
                <w:lang w:val="ru-RU" w:eastAsia="ru-RU" w:bidi="ar-SA"/>
              </w:rPr>
              <w:t>экскаватор-погрузчик</w:t>
            </w:r>
          </w:p>
        </w:tc>
      </w:tr>
      <w:tr>
        <w:trPr>
          <w:trHeight w:val="70" w:hRule="atLeast"/>
        </w:trPr>
        <w:tc>
          <w:tcPr>
            <w:tcW w:w="82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1.1.1</w:t>
            </w:r>
          </w:p>
        </w:tc>
        <w:tc>
          <w:tcPr>
            <w:tcW w:w="3982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Длина, мм</w:t>
            </w:r>
          </w:p>
        </w:tc>
        <w:tc>
          <w:tcPr>
            <w:tcW w:w="2991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Не более </w:t>
            </w: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>6 430</w:t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1.1.2</w:t>
            </w:r>
          </w:p>
        </w:tc>
        <w:tc>
          <w:tcPr>
            <w:tcW w:w="3982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Ширина, мм</w:t>
            </w:r>
          </w:p>
        </w:tc>
        <w:tc>
          <w:tcPr>
            <w:tcW w:w="2991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Не более </w:t>
            </w: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>2 450</w:t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1.1.3</w:t>
            </w:r>
          </w:p>
        </w:tc>
        <w:tc>
          <w:tcPr>
            <w:tcW w:w="3982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Высота, мм</w:t>
            </w:r>
          </w:p>
        </w:tc>
        <w:tc>
          <w:tcPr>
            <w:tcW w:w="2991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Не более 3 940</w:t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1.1.4</w:t>
            </w:r>
          </w:p>
        </w:tc>
        <w:tc>
          <w:tcPr>
            <w:tcW w:w="3982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Дорожный просвет, мм</w:t>
            </w:r>
          </w:p>
        </w:tc>
        <w:tc>
          <w:tcPr>
            <w:tcW w:w="2991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Не </w:t>
            </w: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менее 370</w:t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1.1.5</w:t>
            </w:r>
          </w:p>
        </w:tc>
        <w:tc>
          <w:tcPr>
            <w:tcW w:w="3982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Радиус поворота рулевой оси, мм</w:t>
            </w:r>
          </w:p>
        </w:tc>
        <w:tc>
          <w:tcPr>
            <w:tcW w:w="2991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Не более 6 500</w:t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1.1.6</w:t>
            </w:r>
          </w:p>
        </w:tc>
        <w:tc>
          <w:tcPr>
            <w:tcW w:w="3982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Полная масса, кг</w:t>
            </w:r>
          </w:p>
        </w:tc>
        <w:tc>
          <w:tcPr>
            <w:tcW w:w="2991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Не </w:t>
            </w: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более</w:t>
            </w:r>
            <w:r>
              <w:rPr>
                <w:rFonts w:eastAsia="Calibri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 10 </w:t>
            </w:r>
            <w:r>
              <w:rPr>
                <w:rFonts w:eastAsia="Calibri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500</w:t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1.1.7</w:t>
            </w:r>
          </w:p>
        </w:tc>
        <w:tc>
          <w:tcPr>
            <w:tcW w:w="3982" w:type="dxa"/>
            <w:gridSpan w:val="2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Двигатель, Максимальная мощность, л.с.</w:t>
            </w:r>
          </w:p>
        </w:tc>
        <w:tc>
          <w:tcPr>
            <w:tcW w:w="2991" w:type="dxa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Не менее 98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1.1.8</w:t>
            </w:r>
          </w:p>
        </w:tc>
        <w:tc>
          <w:tcPr>
            <w:tcW w:w="398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Тип двигателя</w:t>
            </w:r>
          </w:p>
        </w:tc>
        <w:tc>
          <w:tcPr>
            <w:tcW w:w="299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Дизельный</w:t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1.1.9</w:t>
            </w:r>
          </w:p>
        </w:tc>
        <w:tc>
          <w:tcPr>
            <w:tcW w:w="398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Число передач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вперед/назад</w:t>
            </w:r>
          </w:p>
        </w:tc>
        <w:tc>
          <w:tcPr>
            <w:tcW w:w="299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4/4</w:t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1.1.10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Колесная формула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4х4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1.1.11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Экологический класс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выше Евро 3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1.1.12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двигателя, л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3,7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/>
                <w:iCs/>
                <w:color w:val="000000" w:themeColor="text1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1.1.13</w:t>
            </w:r>
          </w:p>
        </w:tc>
        <w:tc>
          <w:tcPr>
            <w:tcW w:w="398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Емкость топливного бака, л</w:t>
            </w:r>
          </w:p>
        </w:tc>
        <w:tc>
          <w:tcPr>
            <w:tcW w:w="299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130</w:t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1.1.14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Кондиционер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1.1.15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Автомагнитола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1.1.16</w:t>
            </w:r>
          </w:p>
        </w:tc>
        <w:tc>
          <w:tcPr>
            <w:tcW w:w="3982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Размер шин передние/задние</w:t>
            </w:r>
          </w:p>
        </w:tc>
        <w:tc>
          <w:tcPr>
            <w:tcW w:w="2991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16.9-28/16.9-28</w:t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1.1.17</w:t>
            </w:r>
          </w:p>
        </w:tc>
        <w:tc>
          <w:tcPr>
            <w:tcW w:w="3982" w:type="dxa"/>
            <w:gridSpan w:val="2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Максимальная глубина копания, мм</w:t>
            </w:r>
          </w:p>
        </w:tc>
        <w:tc>
          <w:tcPr>
            <w:tcW w:w="2991" w:type="dxa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5 400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1.1.18</w:t>
            </w:r>
          </w:p>
        </w:tc>
        <w:tc>
          <w:tcPr>
            <w:tcW w:w="3982" w:type="dxa"/>
            <w:gridSpan w:val="2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Максимальная высота выгрузки ковша, мм</w:t>
            </w:r>
          </w:p>
        </w:tc>
        <w:tc>
          <w:tcPr>
            <w:tcW w:w="2991" w:type="dxa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2700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1.1.19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ковша погрузчика, м³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1,1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1.1.20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Усилие копания на ковше погрузчика, кН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50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1.1.21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ковша экскаватора, м³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0,2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1.1.22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Усилие копания на ковше экскаватора, кН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55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1.1.23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Максимальная скорость, км/ч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40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1.1.24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Тип основного гидравлического насоса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Аксиально-поршневой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1.1.25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Максимальный поток, л/мин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156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1.1.26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Гидравлический основной распределитель (Номинальный расход, л/мин)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156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1.1.27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Двухпоточная гидролиния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1.1.28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Управление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Джойстики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iCs/>
                <w:color w:val="000000" w:themeColor="text1"/>
                <w:kern w:val="0"/>
                <w:sz w:val="24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1.1.29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Режимы управления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передние колеса, след-в-след, крабовый ход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4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1.1.30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Блокировка дифференциала заднего моста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1.1.31</w:t>
            </w:r>
          </w:p>
        </w:tc>
        <w:tc>
          <w:tcPr>
            <w:tcW w:w="3982" w:type="dxa"/>
            <w:gridSpan w:val="2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Сидение на пневмоподвеске</w:t>
            </w:r>
          </w:p>
        </w:tc>
        <w:tc>
          <w:tcPr>
            <w:tcW w:w="299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1.1.32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Система «мягкой» подвески стрелы (Ride Control / SRS)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1.1.33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Передний и задние мосты CARRARO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CARRARO или ZF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1.1.34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КПП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CARRARO или ZF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1.1.35</w:t>
            </w:r>
          </w:p>
        </w:tc>
        <w:tc>
          <w:tcPr>
            <w:tcW w:w="3982" w:type="dxa"/>
            <w:gridSpan w:val="2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Аутригеры с гидрозамками</w:t>
            </w:r>
          </w:p>
        </w:tc>
        <w:tc>
          <w:tcPr>
            <w:tcW w:w="2991" w:type="dxa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1.1.36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Быстросъемный механизм на стреле лопаты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1.2.</w:t>
            </w:r>
          </w:p>
        </w:tc>
        <w:tc>
          <w:tcPr>
            <w:tcW w:w="13903" w:type="dxa"/>
            <w:gridSpan w:val="7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Навесное оборудование</w:t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1.2.1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Гидромолот с полным комплектом для монтажа (в комплекте: комплект  монтажный; палец крепления; комплект для смазки и заправки азотом; рабочий  инструмент)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2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en-US" w:eastAsia="en-US" w:bidi="ar-SA"/>
              </w:rPr>
              <w:t>Impulse 120 Classic, Delta F-5 Open или DIGZ А5</w:t>
            </w:r>
          </w:p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1.2.2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Гидровращатель в комплекте с реверсом и с 2-х пальцевым адаптером с упором совместимый с экскавтором-погрузчиком (пальцы в комплекте)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Delta RD 10,  Impulse  RD 10 или DIGZ D7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1.2.3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bCs/>
                <w:sz w:val="22"/>
                <w:szCs w:val="22"/>
              </w:rPr>
              <w:t>Шнекобур винтовой S5 совместимый с гидровращателем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bCs/>
                <w:sz w:val="22"/>
                <w:szCs w:val="22"/>
              </w:rPr>
              <w:t>D-800, L-1450. Абразивное бурение (RD6...RD8)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1.2.4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bCs/>
                <w:sz w:val="22"/>
                <w:szCs w:val="22"/>
              </w:rPr>
              <w:t>Шнекобур винтовой S5 совместимый с гидровращателем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bCs/>
                <w:sz w:val="22"/>
                <w:szCs w:val="22"/>
              </w:rPr>
              <w:t>D-300, L-1450. Абразивное бурение (RD6...RD8)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1.2.5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Удлинитель для шнекобура S5, мм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Длина — не менее 1000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1008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1.2.6</w:t>
            </w:r>
          </w:p>
        </w:tc>
        <w:tc>
          <w:tcPr>
            <w:tcW w:w="398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lineRule="auto" w:line="240" w:before="0" w:after="750"/>
              <w:jc w:val="left"/>
              <w:rPr>
                <w:sz w:val="22"/>
                <w:szCs w:val="22"/>
              </w:rPr>
            </w:pPr>
            <w:r>
              <w:rPr>
                <w:b w:val="false"/>
                <w:bCs/>
                <w:color w:val="000000"/>
                <w:spacing w:val="12"/>
                <w:sz w:val="22"/>
                <w:szCs w:val="22"/>
              </w:rPr>
              <w:t>Ковш для экскаватора-погрузчика</w:t>
            </w:r>
          </w:p>
        </w:tc>
        <w:tc>
          <w:tcPr>
            <w:tcW w:w="299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lineRule="auto" w:line="240" w:before="15" w:after="120"/>
              <w:jc w:val="left"/>
              <w:rPr>
                <w:sz w:val="22"/>
                <w:szCs w:val="22"/>
              </w:rPr>
            </w:pPr>
            <w:r>
              <w:rPr>
                <w:b w:val="false"/>
                <w:bCs w:val="false"/>
                <w:color w:val="000000"/>
                <w:sz w:val="22"/>
                <w:szCs w:val="22"/>
              </w:rPr>
              <w:t>Ширина —  400 мм,</w:t>
            </w:r>
          </w:p>
          <w:p>
            <w:pPr>
              <w:pStyle w:val="Normal"/>
              <w:spacing w:lineRule="auto" w:line="240" w:before="15" w:after="12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Объем не менее 0,09 м</w:t>
            </w:r>
            <w:r>
              <w:rPr>
                <w:rFonts w:ascii="Times New Roman" w:hAnsi="Times New Roman"/>
                <w:color w:val="000000"/>
                <w:sz w:val="24"/>
                <w:szCs w:val="22"/>
                <w:vertAlign w:val="superscript"/>
              </w:rPr>
              <w:t>3</w:t>
            </w:r>
          </w:p>
        </w:tc>
        <w:tc>
          <w:tcPr>
            <w:tcW w:w="2238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  <w:sz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249" w:hRule="atLeast"/>
        </w:trPr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2.</w:t>
            </w:r>
          </w:p>
        </w:tc>
        <w:tc>
          <w:tcPr>
            <w:tcW w:w="13903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Требования к безопасности</w:t>
            </w:r>
          </w:p>
        </w:tc>
      </w:tr>
      <w:tr>
        <w:trPr>
          <w:trHeight w:val="688" w:hRule="atLeast"/>
        </w:trPr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2.1</w:t>
            </w:r>
          </w:p>
        </w:tc>
        <w:tc>
          <w:tcPr>
            <w:tcW w:w="6973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Поставляемые СМ, должны соответствовать требованиям технического регламента таможенного союза ТР ТС 010/2011 «О безопасности машин и оборудования» и иметь действующий сертификат соответствия (декларация о соответствии ЕАЭС)</w:t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Предоставление сертификата (декларации) соответствия</w:t>
            </w:r>
          </w:p>
        </w:tc>
        <w:tc>
          <w:tcPr>
            <w:tcW w:w="232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523" w:hRule="atLeast"/>
        </w:trPr>
        <w:tc>
          <w:tcPr>
            <w:tcW w:w="82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3.</w:t>
            </w:r>
          </w:p>
        </w:tc>
        <w:tc>
          <w:tcPr>
            <w:tcW w:w="13903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</w:tr>
      <w:tr>
        <w:trPr>
          <w:trHeight w:val="948" w:hRule="atLeast"/>
        </w:trPr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3.1</w:t>
            </w:r>
          </w:p>
        </w:tc>
        <w:tc>
          <w:tcPr>
            <w:tcW w:w="2565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Место поставки</w:t>
            </w:r>
          </w:p>
        </w:tc>
        <w:tc>
          <w:tcPr>
            <w:tcW w:w="440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Республика Дагестан, г. Кизилюрт, ул. Гагарина 50, База ГСО ПАО «РусГидро»</w:t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300" w:hRule="atLeast"/>
        </w:trPr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3.2</w:t>
            </w:r>
          </w:p>
        </w:tc>
        <w:tc>
          <w:tcPr>
            <w:tcW w:w="2565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Способ доставки до места поставки (получения)</w:t>
            </w:r>
          </w:p>
        </w:tc>
        <w:tc>
          <w:tcPr>
            <w:tcW w:w="4408" w:type="dxa"/>
            <w:gridSpan w:val="2"/>
            <w:tcBorders/>
            <w:shd w:color="auto" w:fill="auto" w:val="clear"/>
          </w:tcPr>
          <w:p>
            <w:pPr>
              <w:pStyle w:val="BodyText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ind w:left="4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Доставка осуществляется силами Поставщика</w:t>
            </w:r>
            <w:r>
              <w:rPr>
                <w:rFonts w:eastAsia="Calibri"/>
                <w:kern w:val="0"/>
                <w:sz w:val="22"/>
                <w:szCs w:val="22"/>
                <w:lang w:val="ru-RU" w:eastAsia="en-US" w:bidi="ar-SA"/>
              </w:rPr>
              <w:t xml:space="preserve"> (привлеченного перевозчика)</w:t>
            </w:r>
          </w:p>
        </w:tc>
        <w:tc>
          <w:tcPr>
            <w:tcW w:w="22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424" w:hRule="atLeast"/>
        </w:trPr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3.3</w:t>
            </w:r>
          </w:p>
        </w:tc>
        <w:tc>
          <w:tcPr>
            <w:tcW w:w="2565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Требования к предпродажной подготовке</w:t>
            </w:r>
          </w:p>
        </w:tc>
        <w:tc>
          <w:tcPr>
            <w:tcW w:w="4423" w:type="dxa"/>
            <w:gridSpan w:val="3"/>
            <w:tcBorders/>
            <w:shd w:color="auto" w:fill="auto" w:val="clear"/>
          </w:tcPr>
          <w:p>
            <w:pPr>
              <w:pStyle w:val="BodyText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ind w:left="4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Поставщику необходимо выполнить предпродажную подготовку (протяжка, проверка всех уровней жидкостей), (Подтверждается отметкой в сервисной книжке либо Заказ-нарядом, Актом выполненных работ по предпродажному обслуживанию на любом авторизованном техническом центре)</w:t>
            </w:r>
          </w:p>
        </w:tc>
        <w:tc>
          <w:tcPr>
            <w:tcW w:w="2223" w:type="dxa"/>
            <w:tcBorders/>
            <w:shd w:color="auto" w:fill="auto" w:val="clear"/>
            <w:vAlign w:val="center"/>
          </w:tcPr>
          <w:p>
            <w:pPr>
              <w:pStyle w:val="BodyText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ind w:lef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572" w:hRule="atLeast"/>
        </w:trPr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4.</w:t>
            </w:r>
          </w:p>
        </w:tc>
        <w:tc>
          <w:tcPr>
            <w:tcW w:w="13903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Требования к гарантиям, гарантийному и послегарантийному обслуживанию</w:t>
            </w:r>
          </w:p>
        </w:tc>
      </w:tr>
      <w:tr>
        <w:trPr>
          <w:trHeight w:val="1961" w:hRule="atLeast"/>
        </w:trPr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4.1</w:t>
            </w:r>
          </w:p>
        </w:tc>
        <w:tc>
          <w:tcPr>
            <w:tcW w:w="2565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Срок гарантии</w:t>
            </w:r>
          </w:p>
        </w:tc>
        <w:tc>
          <w:tcPr>
            <w:tcW w:w="4423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Срок гарантии на продукцию должен составлять - не менее 24 месяцев или 4000 моточасов с даты продажи Заказчику, в зависимости от того, что наступит ранее.</w:t>
            </w:r>
          </w:p>
        </w:tc>
        <w:tc>
          <w:tcPr>
            <w:tcW w:w="222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1961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4.2</w:t>
            </w:r>
          </w:p>
        </w:tc>
        <w:tc>
          <w:tcPr>
            <w:tcW w:w="2565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Сертифицированный сервисный центр</w:t>
            </w:r>
          </w:p>
        </w:tc>
        <w:tc>
          <w:tcPr>
            <w:tcW w:w="4423" w:type="dxa"/>
            <w:gridSpan w:val="3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 сертифицированного сервисного центра в радиусе 450 км от г. Махачкалы на территории РФ</w:t>
            </w:r>
          </w:p>
        </w:tc>
        <w:tc>
          <w:tcPr>
            <w:tcW w:w="2223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Предоставление сертификата  на сервисное обслуживание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562" w:hRule="atLeast"/>
        </w:trPr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5.</w:t>
            </w:r>
          </w:p>
        </w:tc>
        <w:tc>
          <w:tcPr>
            <w:tcW w:w="13903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Требования к комплектации и документам, поставляемым вместе с продукцией</w:t>
            </w:r>
          </w:p>
        </w:tc>
      </w:tr>
      <w:tr>
        <w:trPr>
          <w:trHeight w:val="688" w:hRule="atLeast"/>
        </w:trPr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5.1</w:t>
            </w:r>
          </w:p>
        </w:tc>
        <w:tc>
          <w:tcPr>
            <w:tcW w:w="2565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Документы, передаваемые вместе с продукцией</w:t>
            </w:r>
          </w:p>
        </w:tc>
        <w:tc>
          <w:tcPr>
            <w:tcW w:w="4423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4"/>
                <w:szCs w:val="22"/>
                <w:lang w:val="ru-RU" w:eastAsia="en-US" w:bidi="ar-SA"/>
              </w:rPr>
              <w:t>Поставщик передает Заказчику товарную накладную (ТОРГ-12)/УПД, счет-фактуру, ПТС/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4"/>
                <w:szCs w:val="22"/>
                <w:lang w:val="ru-RU" w:eastAsia="en-US" w:bidi="ar-SA"/>
              </w:rPr>
              <w:t>выписку из ЭПСМ, Руководство по эксплуатации на русском языке, Сервисную книжку.</w:t>
            </w:r>
            <w:bookmarkStart w:id="38" w:name="_GoBack"/>
            <w:bookmarkEnd w:id="38"/>
          </w:p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А также: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4"/>
                <w:szCs w:val="22"/>
                <w:lang w:val="ru-RU" w:eastAsia="en-US" w:bidi="ar-SA"/>
              </w:rPr>
              <w:t xml:space="preserve">- Предоставление действующего сертификата/декларации в соответствии с требованиями тех. регламента Таможенного Союза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ТР ТС 010/2011 «О безопасности машин и оборудования»</w:t>
            </w:r>
          </w:p>
        </w:tc>
        <w:tc>
          <w:tcPr>
            <w:tcW w:w="222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485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6.</w:t>
            </w:r>
          </w:p>
        </w:tc>
        <w:tc>
          <w:tcPr>
            <w:tcW w:w="13903" w:type="dxa"/>
            <w:gridSpan w:val="7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Прочие (дополнительные) требования к продукции</w:t>
            </w:r>
          </w:p>
        </w:tc>
      </w:tr>
      <w:tr>
        <w:trPr>
          <w:trHeight w:val="688" w:hRule="atLeast"/>
        </w:trPr>
        <w:tc>
          <w:tcPr>
            <w:tcW w:w="82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6.1</w:t>
            </w:r>
          </w:p>
        </w:tc>
        <w:tc>
          <w:tcPr>
            <w:tcW w:w="6988" w:type="dxa"/>
            <w:gridSpan w:val="4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Продукция должна быть новой и ранее не использовавшейся.</w:t>
            </w:r>
          </w:p>
        </w:tc>
        <w:tc>
          <w:tcPr>
            <w:tcW w:w="2223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/>
                <w:iCs/>
                <w:color w:val="000000" w:themeColor="text1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</w:tbl>
    <w:p>
      <w:pPr>
        <w:sectPr>
          <w:footerReference w:type="default" r:id="rId3"/>
          <w:footerReference w:type="first" r:id="rId4"/>
          <w:type w:val="nextPage"/>
          <w:pgSz w:orient="landscape" w:w="16838" w:h="11906"/>
          <w:pgMar w:left="1134" w:right="1134" w:gutter="0" w:header="0" w:top="1134" w:footer="710" w:bottom="767"/>
          <w:pgNumType w:start="0" w:fmt="decimal"/>
          <w:formProt w:val="false"/>
          <w:titlePg/>
          <w:textDirection w:val="lrTb"/>
          <w:docGrid w:type="default" w:linePitch="360" w:charSpace="40960"/>
        </w:sectPr>
      </w:pPr>
    </w:p>
    <w:p>
      <w:pPr>
        <w:pStyle w:val="Normal"/>
        <w:spacing w:lineRule="auto" w:line="240" w:before="12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eading1"/>
        <w:jc w:val="left"/>
        <w:rPr>
          <w:szCs w:val="24"/>
        </w:rPr>
      </w:pPr>
      <w:r>
        <w:rPr>
          <w:szCs w:val="24"/>
        </w:rPr>
      </w:r>
    </w:p>
    <w:p>
      <w:pPr>
        <w:pStyle w:val="Heading1"/>
        <w:jc w:val="left"/>
        <w:rPr>
          <w:szCs w:val="24"/>
        </w:rPr>
      </w:pPr>
      <w:bookmarkStart w:id="39" w:name="_Toc141864839"/>
      <w:r>
        <w:rPr>
          <w:szCs w:val="24"/>
        </w:rPr>
        <w:t>3. Требования к документации по ценообразованию на этапе закупки</w:t>
      </w:r>
      <w:bookmarkEnd w:id="39"/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3.1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3.2. Дополнительные документы по ценообразованию в состав заявки не включаются.</w:t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footerReference w:type="default" r:id="rId5"/>
      <w:footerReference w:type="first" r:id="rId6"/>
      <w:type w:val="nextPage"/>
      <w:pgSz w:w="11906" w:h="16838"/>
      <w:pgMar w:left="1134" w:right="851" w:gutter="0" w:header="0" w:top="225" w:footer="0" w:bottom="1134"/>
      <w:pgNumType w:start="0" w:fmt="decimal"/>
      <w:formProt w:val="false"/>
      <w:textDirection w:val="lrTb"/>
      <w:docGrid w:type="default" w:linePitch="36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220"/>
      <w:numFmt w:val="decimal"/>
      <w:suff w:val="space"/>
      <w:lvlText w:val="2.1.1%1"/>
      <w:lvlJc w:val="left"/>
      <w:pPr>
        <w:tabs>
          <w:tab w:val="num" w:pos="0"/>
        </w:tabs>
        <w:ind w:left="360" w:hanging="360"/>
      </w:pPr>
      <w:rPr>
        <w:i w:val="false"/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decimal"/>
      <w:suff w:val="space"/>
      <w:lvlText w:val="1.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7158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071583"/>
    <w:pPr>
      <w:keepNext w:val="true"/>
      <w:spacing w:lineRule="auto" w:line="240" w:before="0" w:after="0"/>
      <w:jc w:val="center"/>
      <w:outlineLvl w:val="0"/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e946b2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d5770d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071583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val="2E74B5" w:themeColor="accent1" w:themeShade="b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071583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4" w:customStyle="1">
    <w:name w:val="Заголовок 4 Знак"/>
    <w:basedOn w:val="DefaultParagraphFont"/>
    <w:uiPriority w:val="9"/>
    <w:semiHidden/>
    <w:qFormat/>
    <w:rsid w:val="00071583"/>
    <w:rPr>
      <w:rFonts w:ascii="Calibri Light" w:hAnsi="Calibri Light" w:eastAsia="" w:cs="" w:asciiTheme="majorHAnsi" w:cstheme="majorBidi" w:eastAsiaTheme="majorEastAsia" w:hAnsiTheme="majorHAnsi"/>
      <w:i/>
      <w:iCs/>
      <w:color w:val="2E74B5" w:themeColor="accent1" w:themeShade="bf"/>
    </w:rPr>
  </w:style>
  <w:style w:type="character" w:styleId="Style5" w:customStyle="1">
    <w:name w:val="Верхний колонтитул Знак"/>
    <w:basedOn w:val="DefaultParagraphFont"/>
    <w:uiPriority w:val="99"/>
    <w:qFormat/>
    <w:rsid w:val="00071583"/>
    <w:rPr/>
  </w:style>
  <w:style w:type="character" w:styleId="Style6" w:customStyle="1">
    <w:name w:val="Нижний колонтитул Знак"/>
    <w:basedOn w:val="DefaultParagraphFont"/>
    <w:uiPriority w:val="99"/>
    <w:qFormat/>
    <w:rsid w:val="00071583"/>
    <w:rPr/>
  </w:style>
  <w:style w:type="character" w:styleId="Style7" w:customStyle="1">
    <w:name w:val="Текст сноски Знак"/>
    <w:basedOn w:val="DefaultParagraphFont"/>
    <w:uiPriority w:val="99"/>
    <w:semiHidden/>
    <w:qFormat/>
    <w:rsid w:val="00071583"/>
    <w:rPr>
      <w:sz w:val="20"/>
      <w:szCs w:val="20"/>
    </w:rPr>
  </w:style>
  <w:style w:type="character" w:styleId="Style8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071583"/>
    <w:rPr>
      <w:vertAlign w:val="superscript"/>
    </w:rPr>
  </w:style>
  <w:style w:type="character" w:styleId="Style9" w:customStyle="1">
    <w:name w:val="Основной текст Знак"/>
    <w:basedOn w:val="DefaultParagraphFont"/>
    <w:qFormat/>
    <w:rsid w:val="00071583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071583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71583"/>
    <w:rPr>
      <w:sz w:val="16"/>
      <w:szCs w:val="16"/>
    </w:rPr>
  </w:style>
  <w:style w:type="character" w:styleId="Style11" w:customStyle="1">
    <w:name w:val="Текст примечания Знак"/>
    <w:basedOn w:val="DefaultParagraphFont"/>
    <w:link w:val="Annotationtext"/>
    <w:uiPriority w:val="99"/>
    <w:semiHidden/>
    <w:qFormat/>
    <w:rsid w:val="00071583"/>
    <w:rPr>
      <w:sz w:val="20"/>
      <w:szCs w:val="20"/>
    </w:rPr>
  </w:style>
  <w:style w:type="character" w:styleId="Style12" w:customStyle="1">
    <w:name w:val="Тема примечания Знак"/>
    <w:basedOn w:val="Style11"/>
    <w:link w:val="Annotationsubject"/>
    <w:uiPriority w:val="99"/>
    <w:semiHidden/>
    <w:qFormat/>
    <w:rsid w:val="00071583"/>
    <w:rPr>
      <w:b/>
      <w:bCs/>
      <w:sz w:val="20"/>
      <w:szCs w:val="20"/>
    </w:rPr>
  </w:style>
  <w:style w:type="character" w:styleId="Style13" w:customStyle="1">
    <w:name w:val="Абзац списка Знак"/>
    <w:link w:val="ListParagraph"/>
    <w:uiPriority w:val="34"/>
    <w:qFormat/>
    <w:locked/>
    <w:rsid w:val="0007158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комментарий"/>
    <w:qFormat/>
    <w:rsid w:val="00071583"/>
    <w:rPr>
      <w:b/>
      <w:i/>
      <w:shd w:fill="FFFF99" w:val="clear"/>
    </w:rPr>
  </w:style>
  <w:style w:type="character" w:styleId="11" w:customStyle="1">
    <w:name w:val="Гиперссылка1"/>
    <w:uiPriority w:val="99"/>
    <w:qFormat/>
    <w:rsid w:val="00071583"/>
    <w:rPr>
      <w:color w:val="0000FF"/>
      <w:u w:val="single"/>
    </w:rPr>
  </w:style>
  <w:style w:type="character" w:styleId="2" w:customStyle="1">
    <w:name w:val="Заголовок 2 Знак"/>
    <w:basedOn w:val="DefaultParagraphFont"/>
    <w:uiPriority w:val="9"/>
    <w:semiHidden/>
    <w:qFormat/>
    <w:rsid w:val="00e946b2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" w:customStyle="1">
    <w:name w:val="Заголовок 3 Знак"/>
    <w:basedOn w:val="DefaultParagraphFont"/>
    <w:uiPriority w:val="9"/>
    <w:semiHidden/>
    <w:qFormat/>
    <w:rsid w:val="00d5770d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Style15" w:customStyle="1">
    <w:name w:val="Ссылка указателя"/>
    <w:qFormat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Sans" w:hAnsi="PT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9"/>
    <w:rsid w:val="00071583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Caption11111111" w:customStyle="1">
    <w:name w:val="caption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" w:customStyle="1">
    <w:name w:val="index heading11111111"/>
    <w:basedOn w:val="Title"/>
    <w:qFormat/>
    <w:pPr/>
    <w:rPr/>
  </w:style>
  <w:style w:type="paragraph" w:styleId="Caption111111111" w:customStyle="1">
    <w:name w:val="caption1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1" w:customStyle="1">
    <w:name w:val="index heading111111111"/>
    <w:basedOn w:val="Title"/>
    <w:qFormat/>
    <w:pPr/>
    <w:rPr/>
  </w:style>
  <w:style w:type="paragraph" w:styleId="ListParagraph">
    <w:name w:val="List Paragraph"/>
    <w:basedOn w:val="Normal"/>
    <w:link w:val="Style13"/>
    <w:uiPriority w:val="34"/>
    <w:qFormat/>
    <w:rsid w:val="00071583"/>
    <w:pPr>
      <w:spacing w:lineRule="auto" w:line="240" w:before="0" w:after="0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Default" w:customStyle="1">
    <w:name w:val="Default"/>
    <w:qFormat/>
    <w:rsid w:val="0007158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18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5"/>
    <w:uiPriority w:val="99"/>
    <w:unhideWhenUsed/>
    <w:rsid w:val="0007158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6"/>
    <w:uiPriority w:val="99"/>
    <w:unhideWhenUsed/>
    <w:rsid w:val="0007158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Style7"/>
    <w:uiPriority w:val="99"/>
    <w:semiHidden/>
    <w:unhideWhenUsed/>
    <w:rsid w:val="00071583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07158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Style11"/>
    <w:uiPriority w:val="99"/>
    <w:semiHidden/>
    <w:unhideWhenUsed/>
    <w:qFormat/>
    <w:rsid w:val="0007158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2"/>
    <w:uiPriority w:val="99"/>
    <w:semiHidden/>
    <w:unhideWhenUsed/>
    <w:qFormat/>
    <w:rsid w:val="00071583"/>
    <w:pPr/>
    <w:rPr>
      <w:b/>
      <w:bCs/>
    </w:rPr>
  </w:style>
  <w:style w:type="paragraph" w:styleId="Style19" w:customStyle="1">
    <w:name w:val="Раздел положения"/>
    <w:basedOn w:val="Normal"/>
    <w:qFormat/>
    <w:rsid w:val="00071583"/>
    <w:pPr/>
    <w:rPr/>
  </w:style>
  <w:style w:type="paragraph" w:styleId="Style20" w:customStyle="1">
    <w:name w:val="Подраздел раздела положения"/>
    <w:basedOn w:val="Normal"/>
    <w:qFormat/>
    <w:rsid w:val="00071583"/>
    <w:pPr>
      <w:numPr>
        <w:ilvl w:val="1"/>
        <w:numId w:val="1"/>
      </w:numPr>
    </w:pPr>
    <w:rPr/>
  </w:style>
  <w:style w:type="paragraph" w:styleId="TOC1">
    <w:name w:val="TOC 1"/>
    <w:basedOn w:val="Normal"/>
    <w:next w:val="Normal"/>
    <w:autoRedefine/>
    <w:uiPriority w:val="39"/>
    <w:rsid w:val="00924bd7"/>
    <w:pPr>
      <w:tabs>
        <w:tab w:val="clear" w:pos="708"/>
        <w:tab w:val="right" w:pos="9911" w:leader="dot"/>
      </w:tabs>
      <w:spacing w:lineRule="auto" w:line="240" w:before="120" w:after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TOC3">
    <w:name w:val="TOC 3"/>
    <w:basedOn w:val="Normal"/>
    <w:next w:val="Normal"/>
    <w:autoRedefine/>
    <w:uiPriority w:val="39"/>
    <w:rsid w:val="003e531c"/>
    <w:pPr>
      <w:tabs>
        <w:tab w:val="clear" w:pos="708"/>
        <w:tab w:val="right" w:pos="9911" w:leader="dot"/>
      </w:tabs>
      <w:spacing w:lineRule="auto" w:line="240" w:before="0" w:after="0"/>
      <w:ind w:left="280"/>
    </w:pPr>
    <w:rPr>
      <w:rFonts w:ascii="Times New Roman" w:hAnsi="Times New Roman" w:eastAsia="Times New Roman" w:cs="Calibri" w:cstheme="minorHAnsi"/>
      <w:sz w:val="20"/>
      <w:szCs w:val="20"/>
      <w:lang w:eastAsia="ru-RU"/>
    </w:rPr>
  </w:style>
  <w:style w:type="paragraph" w:styleId="TOC4">
    <w:name w:val="TOC 4"/>
    <w:basedOn w:val="Normal"/>
    <w:next w:val="Normal"/>
    <w:autoRedefine/>
    <w:uiPriority w:val="39"/>
    <w:rsid w:val="00071583"/>
    <w:pPr>
      <w:spacing w:lineRule="auto" w:line="240" w:before="0" w:after="0"/>
      <w:ind w:left="560"/>
      <w:jc w:val="center"/>
    </w:pPr>
    <w:rPr>
      <w:rFonts w:ascii="Times New Roman" w:hAnsi="Times New Roman" w:eastAsia="Times New Roman" w:cs="Calibri" w:cstheme="minorHAnsi"/>
      <w:b/>
      <w:bCs/>
      <w:sz w:val="28"/>
      <w:szCs w:val="28"/>
      <w:lang w:eastAsia="ru-RU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071583"/>
    <w:pPr>
      <w:keepLines/>
      <w:spacing w:lineRule="auto" w:line="259" w:before="240" w:after="0"/>
      <w:jc w:val="left"/>
      <w:outlineLvl w:val="9"/>
    </w:pPr>
    <w:rPr>
      <w:rFonts w:ascii="Calibri Light" w:hAnsi="Calibri Light" w:eastAsia="" w:cs="" w:asciiTheme="majorHAnsi" w:cstheme="majorBidi" w:eastAsiaTheme="majorEastAsia" w:hAnsiTheme="majorHAnsi"/>
      <w:b w:val="false"/>
      <w:color w:val="2E74B5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e946b2"/>
    <w:pPr>
      <w:tabs>
        <w:tab w:val="clear" w:pos="708"/>
        <w:tab w:val="right" w:pos="9911" w:leader="dot"/>
      </w:tabs>
      <w:spacing w:lineRule="auto" w:line="259" w:before="0" w:after="100"/>
      <w:ind w:left="220"/>
    </w:pPr>
    <w:rPr>
      <w:rFonts w:eastAsia="" w:cs="Times New Roman" w:eastAsiaTheme="minorEastAsia"/>
      <w:lang w:eastAsia="ru-RU"/>
    </w:rPr>
  </w:style>
  <w:style w:type="paragraph" w:styleId="NoSpacing">
    <w:name w:val="No Spacing"/>
    <w:uiPriority w:val="1"/>
    <w:qFormat/>
    <w:rsid w:val="000350fa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paragraph" w:styleId="Style23" w:customStyle="1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4">
    <w:name w:val="Table Grid"/>
    <w:basedOn w:val="a2"/>
    <w:uiPriority w:val="39"/>
    <w:rsid w:val="000715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Сетка таблицы1"/>
    <w:basedOn w:val="a2"/>
    <w:uiPriority w:val="39"/>
    <w:rsid w:val="00637295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14673-6219-4D46-9AC2-E0BD692CD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Application>AlterOffice/2026.1.1.1$Linux_X86_64 LibreOffice_project/3e21501661f60bfec03e40427f644625fc6a58b7</Application>
  <AppVersion>15.0000</AppVersion>
  <Pages>11</Pages>
  <Words>1072</Words>
  <Characters>7063</Characters>
  <CharactersWithSpaces>7811</CharactersWithSpaces>
  <Paragraphs>337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2024-02-13T05:02:00Z</dcterms:created>
  <dc:creator>Третьяков Михаил Михайлович</dc:creator>
  <dc:description/>
  <dc:language>ru-RU</dc:language>
  <cp:lastModifiedBy>sunkulievaa@corp.gidroogk.com</cp:lastModifiedBy>
  <dcterms:modified xsi:type="dcterms:W3CDTF">2026-06-24T10:27:05Z</dcterms:modified>
  <cp:revision>163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